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Партија </w:t>
      </w:r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3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 – Сервис возила марке Фиат Типо</w:t>
      </w:r>
    </w:p>
    <w:p>
      <w:pPr>
        <w:pStyle w:val="Normal"/>
        <w:rPr>
          <w:rFonts w:ascii="Arial" w:hAnsi="Arial" w:cs="Arial"/>
          <w:b w:val="false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pPr>
      <w:r>
        <w:rPr/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spacing w:before="0" w:after="103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spacing w:before="0" w:after="103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Пружалац услуге </w:t>
      </w:r>
      <w:r>
        <w:rPr>
          <w:rFonts w:ascii="Arial" w:hAnsi="Arial"/>
          <w:b/>
          <w:sz w:val="22"/>
          <w:szCs w:val="22"/>
        </w:rPr>
        <w:t xml:space="preserve">мора бити овлашћен од произвођача возила </w:t>
      </w:r>
      <w:r>
        <w:rPr>
          <w:rFonts w:ascii="Arial" w:hAnsi="Arial"/>
          <w:sz w:val="22"/>
          <w:szCs w:val="22"/>
        </w:rPr>
        <w:t>за вршење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сервисирања и одржавања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период.Редовно сервисирање врши се по писаном радном налогу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 отклањање насталог квара.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/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идостављеним понудама, односно коју су ван редовног сервисирања и ванредног одржавања возила представљених кроз техничке спецификације и Образац структуре цене у овој конкурсној документацији.  Цене материјала и резервних делова које су представљене у процени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558460680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LibreOffice/6.2.8.2$Windows_X86_64 LibreOffice_project/f82ddfca21ebc1e222a662a32b25c0c9d20169ee</Application>
  <Pages>2</Pages>
  <Words>444</Words>
  <Characters>2557</Characters>
  <CharactersWithSpaces>2975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2022-02-24T12:41:43Z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